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01734" w14:textId="77777777" w:rsidR="005F522C" w:rsidRDefault="005F522C" w:rsidP="005F522C">
      <w:bookmarkStart w:id="0" w:name="_MailOriginal"/>
    </w:p>
    <w:tbl>
      <w:tblPr>
        <w:tblStyle w:val="NormalTablo1"/>
        <w:tblW w:w="5000" w:type="pct"/>
        <w:jc w:val="center"/>
        <w:tblCellSpacing w:w="0" w:type="dxa"/>
        <w:tblInd w:w="0" w:type="dxa"/>
        <w:shd w:val="clear" w:color="auto" w:fill="F6F7F8"/>
        <w:tblCellMar>
          <w:left w:w="0" w:type="dxa"/>
          <w:right w:w="0" w:type="dxa"/>
        </w:tblCellMar>
        <w:tblLook w:val="04A0" w:firstRow="1" w:lastRow="0" w:firstColumn="1" w:lastColumn="0" w:noHBand="0" w:noVBand="1"/>
      </w:tblPr>
      <w:tblGrid>
        <w:gridCol w:w="9072"/>
      </w:tblGrid>
      <w:tr w:rsidR="005F522C" w14:paraId="628ED2A5" w14:textId="77777777" w:rsidTr="005F522C">
        <w:trPr>
          <w:tblCellSpacing w:w="0" w:type="dxa"/>
          <w:jc w:val="center"/>
        </w:trPr>
        <w:tc>
          <w:tcPr>
            <w:tcW w:w="0" w:type="auto"/>
            <w:shd w:val="clear" w:color="auto" w:fill="F6F7F8"/>
            <w:tcMar>
              <w:top w:w="300" w:type="dxa"/>
              <w:left w:w="300" w:type="dxa"/>
              <w:bottom w:w="300" w:type="dxa"/>
              <w:right w:w="300" w:type="dxa"/>
            </w:tcMar>
            <w:hideMark/>
          </w:tcPr>
          <w:tbl>
            <w:tblPr>
              <w:tblStyle w:val="NormalTablo1"/>
              <w:tblW w:w="9000" w:type="dxa"/>
              <w:jc w:val="center"/>
              <w:tblCellSpacing w:w="0" w:type="dxa"/>
              <w:tblInd w:w="0" w:type="dxa"/>
              <w:shd w:val="clear" w:color="auto" w:fill="FFFFFF"/>
              <w:tblCellMar>
                <w:left w:w="0" w:type="dxa"/>
                <w:right w:w="0" w:type="dxa"/>
              </w:tblCellMar>
              <w:tblLook w:val="04A0" w:firstRow="1" w:lastRow="0" w:firstColumn="1" w:lastColumn="0" w:noHBand="0" w:noVBand="1"/>
            </w:tblPr>
            <w:tblGrid>
              <w:gridCol w:w="9000"/>
            </w:tblGrid>
            <w:tr w:rsidR="005F522C" w14:paraId="245C4997" w14:textId="77777777">
              <w:trPr>
                <w:tblCellSpacing w:w="0" w:type="dxa"/>
                <w:jc w:val="center"/>
              </w:trPr>
              <w:tc>
                <w:tcPr>
                  <w:tcW w:w="0" w:type="auto"/>
                  <w:shd w:val="clear" w:color="auto" w:fill="FFFFFF"/>
                  <w:hideMark/>
                </w:tcPr>
                <w:tbl>
                  <w:tblPr>
                    <w:tblStyle w:val="NormalTablo1"/>
                    <w:tblW w:w="5000" w:type="pct"/>
                    <w:jc w:val="center"/>
                    <w:tblCellSpacing w:w="0" w:type="dxa"/>
                    <w:tblInd w:w="0" w:type="dxa"/>
                    <w:shd w:val="clear" w:color="auto" w:fill="F6F7F8"/>
                    <w:tblCellMar>
                      <w:left w:w="0" w:type="dxa"/>
                      <w:right w:w="0" w:type="dxa"/>
                    </w:tblCellMar>
                    <w:tblLook w:val="04A0" w:firstRow="1" w:lastRow="0" w:firstColumn="1" w:lastColumn="0" w:noHBand="0" w:noVBand="1"/>
                  </w:tblPr>
                  <w:tblGrid>
                    <w:gridCol w:w="9000"/>
                  </w:tblGrid>
                  <w:tr w:rsidR="005F522C" w14:paraId="06E1AA42" w14:textId="77777777">
                    <w:trPr>
                      <w:tblCellSpacing w:w="0" w:type="dxa"/>
                      <w:jc w:val="center"/>
                    </w:trPr>
                    <w:tc>
                      <w:tcPr>
                        <w:tcW w:w="0" w:type="auto"/>
                        <w:shd w:val="clear" w:color="auto" w:fill="F6F7F8"/>
                        <w:tcMar>
                          <w:top w:w="150" w:type="dxa"/>
                          <w:left w:w="300" w:type="dxa"/>
                          <w:bottom w:w="150" w:type="dxa"/>
                          <w:right w:w="300" w:type="dxa"/>
                        </w:tcMar>
                        <w:hideMark/>
                      </w:tcPr>
                      <w:p w14:paraId="7876F6A9" w14:textId="77777777" w:rsidR="005F522C" w:rsidRDefault="005F522C"/>
                    </w:tc>
                  </w:tr>
                </w:tbl>
                <w:p w14:paraId="1A4D5901" w14:textId="77777777" w:rsidR="005F522C" w:rsidRDefault="005F522C">
                  <w:pPr>
                    <w:jc w:val="center"/>
                    <w:rPr>
                      <w:sz w:val="20"/>
                      <w:szCs w:val="20"/>
                    </w:rPr>
                  </w:pPr>
                </w:p>
              </w:tc>
            </w:tr>
            <w:tr w:rsidR="005F522C" w14:paraId="131B63F6" w14:textId="77777777">
              <w:trPr>
                <w:tblCellSpacing w:w="0" w:type="dxa"/>
                <w:jc w:val="center"/>
              </w:trPr>
              <w:tc>
                <w:tcPr>
                  <w:tcW w:w="0" w:type="auto"/>
                  <w:shd w:val="clear" w:color="auto" w:fill="FFFFFF"/>
                  <w:hideMark/>
                </w:tcPr>
                <w:tbl>
                  <w:tblPr>
                    <w:tblStyle w:val="NormalTablo1"/>
                    <w:tblW w:w="5000" w:type="pct"/>
                    <w:jc w:val="center"/>
                    <w:tblCellSpacing w:w="0" w:type="dxa"/>
                    <w:tblInd w:w="0" w:type="dxa"/>
                    <w:tblCellMar>
                      <w:left w:w="300" w:type="dxa"/>
                      <w:bottom w:w="300" w:type="dxa"/>
                      <w:right w:w="300" w:type="dxa"/>
                    </w:tblCellMar>
                    <w:tblLook w:val="04A0" w:firstRow="1" w:lastRow="0" w:firstColumn="1" w:lastColumn="0" w:noHBand="0" w:noVBand="1"/>
                  </w:tblPr>
                  <w:tblGrid>
                    <w:gridCol w:w="9000"/>
                  </w:tblGrid>
                  <w:tr w:rsidR="005F522C" w14:paraId="5E64B9A6" w14:textId="77777777">
                    <w:trPr>
                      <w:tblCellSpacing w:w="0" w:type="dxa"/>
                      <w:jc w:val="center"/>
                    </w:trPr>
                    <w:tc>
                      <w:tcPr>
                        <w:tcW w:w="0" w:type="auto"/>
                        <w:hideMark/>
                      </w:tcPr>
                      <w:p w14:paraId="037FF19D" w14:textId="77777777" w:rsidR="005F522C" w:rsidRDefault="005F522C">
                        <w:pPr>
                          <w:pStyle w:val="NormalWeb"/>
                          <w:spacing w:line="360" w:lineRule="auto"/>
                          <w:rPr>
                            <w:rFonts w:ascii="Helvetica" w:eastAsiaTheme="minorHAnsi" w:hAnsi="Helvetica" w:cs="Helvetica"/>
                            <w:color w:val="1C2B28"/>
                            <w:sz w:val="21"/>
                            <w:szCs w:val="21"/>
                          </w:rPr>
                        </w:pPr>
                        <w:r>
                          <w:rPr>
                            <w:rFonts w:ascii="Helvetica" w:hAnsi="Helvetica" w:cs="Helvetica"/>
                            <w:noProof/>
                            <w:color w:val="0976B4"/>
                            <w:sz w:val="21"/>
                            <w:szCs w:val="21"/>
                          </w:rPr>
                          <w:drawing>
                            <wp:inline distT="0" distB="0" distL="0" distR="0" wp14:anchorId="6DD5B087" wp14:editId="39E22627">
                              <wp:extent cx="1790700" cy="1143000"/>
                              <wp:effectExtent l="0" t="0" r="0" b="0"/>
                              <wp:docPr id="14" name="Picture 14" descr="Koç Üniversites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ç Üniversites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1143000"/>
                                      </a:xfrm>
                                      <a:prstGeom prst="rect">
                                        <a:avLst/>
                                      </a:prstGeom>
                                      <a:noFill/>
                                      <a:ln>
                                        <a:noFill/>
                                      </a:ln>
                                    </pic:spPr>
                                  </pic:pic>
                                </a:graphicData>
                              </a:graphic>
                            </wp:inline>
                          </w:drawing>
                        </w:r>
                      </w:p>
                    </w:tc>
                  </w:tr>
                </w:tbl>
                <w:p w14:paraId="5932F630" w14:textId="77777777" w:rsidR="005F522C" w:rsidRDefault="005F522C">
                  <w:pPr>
                    <w:jc w:val="center"/>
                    <w:rPr>
                      <w:sz w:val="20"/>
                      <w:szCs w:val="20"/>
                    </w:rPr>
                  </w:pPr>
                </w:p>
              </w:tc>
            </w:tr>
            <w:tr w:rsidR="005F522C" w14:paraId="3DDE2A22" w14:textId="77777777">
              <w:trPr>
                <w:tblCellSpacing w:w="0" w:type="dxa"/>
                <w:jc w:val="center"/>
              </w:trPr>
              <w:tc>
                <w:tcPr>
                  <w:tcW w:w="0" w:type="auto"/>
                  <w:shd w:val="clear" w:color="auto" w:fill="FFFFFF"/>
                  <w:hideMark/>
                </w:tcPr>
                <w:tbl>
                  <w:tblPr>
                    <w:tblStyle w:val="NormalTablo1"/>
                    <w:tblW w:w="5000" w:type="pct"/>
                    <w:jc w:val="center"/>
                    <w:tblCellSpacing w:w="0" w:type="dxa"/>
                    <w:tblInd w:w="0" w:type="dxa"/>
                    <w:tblCellMar>
                      <w:left w:w="300" w:type="dxa"/>
                      <w:bottom w:w="300" w:type="dxa"/>
                      <w:right w:w="300" w:type="dxa"/>
                    </w:tblCellMar>
                    <w:tblLook w:val="04A0" w:firstRow="1" w:lastRow="0" w:firstColumn="1" w:lastColumn="0" w:noHBand="0" w:noVBand="1"/>
                  </w:tblPr>
                  <w:tblGrid>
                    <w:gridCol w:w="9000"/>
                  </w:tblGrid>
                  <w:tr w:rsidR="005F522C" w14:paraId="15293D95" w14:textId="77777777">
                    <w:trPr>
                      <w:tblCellSpacing w:w="0" w:type="dxa"/>
                      <w:jc w:val="center"/>
                    </w:trPr>
                    <w:tc>
                      <w:tcPr>
                        <w:tcW w:w="0" w:type="auto"/>
                      </w:tcPr>
                      <w:p w14:paraId="57E90E98" w14:textId="77777777" w:rsidR="009F5BE1" w:rsidRPr="00AC0C0E" w:rsidRDefault="009F5BE1" w:rsidP="009F5BE1">
                        <w:pPr>
                          <w:autoSpaceDE w:val="0"/>
                          <w:autoSpaceDN w:val="0"/>
                          <w:adjustRightInd w:val="0"/>
                          <w:jc w:val="center"/>
                          <w:rPr>
                            <w:rFonts w:ascii="Arial" w:eastAsia="ChronicleDispCond-Roman" w:hAnsi="Arial" w:cs="Arial"/>
                            <w:u w:val="single"/>
                          </w:rPr>
                        </w:pPr>
                        <w:r w:rsidRPr="00AC0C0E">
                          <w:rPr>
                            <w:rFonts w:ascii="Arial" w:eastAsia="ChronicleDispCond-Roman" w:hAnsi="Arial" w:cs="Arial"/>
                            <w:u w:val="single"/>
                          </w:rPr>
                          <w:t>AKDENİZ MEDENİYETLERİ ARAŞTIRMA MERKEZİ</w:t>
                        </w:r>
                        <w:r w:rsidRPr="009B662B">
                          <w:rPr>
                            <w:rFonts w:ascii="Arial" w:eastAsia="ChronicleDispCond-Roman" w:hAnsi="Arial" w:cs="Arial"/>
                            <w:b/>
                          </w:rPr>
                          <w:t xml:space="preserve"> </w:t>
                        </w:r>
                        <w:r w:rsidRPr="00AC0C0E">
                          <w:rPr>
                            <w:rFonts w:ascii="Arial" w:eastAsia="ChronicleDispCond-Roman" w:hAnsi="Arial" w:cs="Arial"/>
                            <w:u w:val="single"/>
                          </w:rPr>
                          <w:t>İKİNCİ ULUSLARARASI PARA TARİHİ VE NUMİSMATİK KONGRESİ</w:t>
                        </w:r>
                        <w:r>
                          <w:rPr>
                            <w:rFonts w:ascii="Arial" w:eastAsia="ChronicleDispCond-Roman" w:hAnsi="Arial" w:cs="Arial"/>
                            <w:u w:val="single"/>
                          </w:rPr>
                          <w:t>’NE EV SAHİPLİĞİ YAPACAK</w:t>
                        </w:r>
                      </w:p>
                      <w:p w14:paraId="22E1C00D" w14:textId="77777777" w:rsidR="009F5BE1" w:rsidRDefault="009F5BE1" w:rsidP="009F5BE1">
                        <w:pPr>
                          <w:autoSpaceDE w:val="0"/>
                          <w:autoSpaceDN w:val="0"/>
                          <w:adjustRightInd w:val="0"/>
                          <w:jc w:val="center"/>
                          <w:rPr>
                            <w:rFonts w:ascii="Arial" w:eastAsia="ChronicleDispCond-Roman" w:hAnsi="Arial" w:cs="Arial"/>
                            <w:b/>
                            <w:sz w:val="44"/>
                            <w:szCs w:val="44"/>
                          </w:rPr>
                        </w:pPr>
                      </w:p>
                      <w:p w14:paraId="49917C9A" w14:textId="77777777" w:rsidR="009F5BE1" w:rsidRPr="009B662B" w:rsidRDefault="009F5BE1" w:rsidP="009F5BE1">
                        <w:pPr>
                          <w:autoSpaceDE w:val="0"/>
                          <w:autoSpaceDN w:val="0"/>
                          <w:adjustRightInd w:val="0"/>
                          <w:jc w:val="center"/>
                          <w:rPr>
                            <w:rFonts w:eastAsia="ChronicleDispCond-Roman"/>
                            <w:b/>
                            <w:color w:val="6D6F71"/>
                            <w:sz w:val="44"/>
                            <w:szCs w:val="44"/>
                          </w:rPr>
                        </w:pPr>
                        <w:r>
                          <w:rPr>
                            <w:rFonts w:ascii="Arial" w:eastAsia="ChronicleDispCond-Roman" w:hAnsi="Arial" w:cs="Arial"/>
                            <w:b/>
                            <w:sz w:val="44"/>
                            <w:szCs w:val="44"/>
                          </w:rPr>
                          <w:t>AKMED PARANIN AKDENİZ TARİHİNDEKİ YOLCULUĞUNA IŞIK TUTACAK</w:t>
                        </w:r>
                      </w:p>
                      <w:p w14:paraId="6D65FD87" w14:textId="77777777" w:rsidR="009F5BE1" w:rsidRDefault="009F5BE1" w:rsidP="009F5BE1">
                        <w:pPr>
                          <w:autoSpaceDE w:val="0"/>
                          <w:autoSpaceDN w:val="0"/>
                          <w:adjustRightInd w:val="0"/>
                          <w:jc w:val="both"/>
                          <w:rPr>
                            <w:rFonts w:eastAsia="ChronicleDispCond-Roman"/>
                            <w:color w:val="6D6F71"/>
                            <w:sz w:val="28"/>
                            <w:szCs w:val="28"/>
                          </w:rPr>
                        </w:pPr>
                      </w:p>
                      <w:p w14:paraId="7CBC1F39" w14:textId="77777777" w:rsidR="009F5BE1" w:rsidRDefault="009F5BE1" w:rsidP="009F5BE1">
                        <w:pPr>
                          <w:autoSpaceDE w:val="0"/>
                          <w:autoSpaceDN w:val="0"/>
                          <w:adjustRightInd w:val="0"/>
                          <w:jc w:val="both"/>
                          <w:rPr>
                            <w:rFonts w:eastAsia="ChronicleDispCond-Roman"/>
                            <w:color w:val="6D6F71"/>
                            <w:sz w:val="28"/>
                            <w:szCs w:val="28"/>
                          </w:rPr>
                        </w:pPr>
                      </w:p>
                      <w:p w14:paraId="5806BF39" w14:textId="77777777" w:rsidR="009F5BE1" w:rsidRPr="009B662B" w:rsidRDefault="009F5BE1" w:rsidP="009F5BE1">
                        <w:pPr>
                          <w:autoSpaceDE w:val="0"/>
                          <w:autoSpaceDN w:val="0"/>
                          <w:adjustRightInd w:val="0"/>
                          <w:jc w:val="center"/>
                          <w:rPr>
                            <w:rFonts w:ascii="Arial" w:eastAsia="ChronicleDispCond-Roman" w:hAnsi="Arial" w:cs="Arial"/>
                            <w:b/>
                          </w:rPr>
                        </w:pPr>
                        <w:r w:rsidRPr="009B662B">
                          <w:rPr>
                            <w:rFonts w:ascii="Arial" w:eastAsia="ChronicleDispCond-Roman" w:hAnsi="Arial" w:cs="Arial"/>
                            <w:b/>
                          </w:rPr>
                          <w:t xml:space="preserve">Koç Üniversitesi Suna &amp; İnan Kıraç Akdeniz Medeniyetleri Araştırma Merkezi (AKMED), 5-8 Ocak 2017 tarihleri arasında </w:t>
                        </w:r>
                        <w:r w:rsidRPr="00AC0C0E">
                          <w:rPr>
                            <w:rFonts w:ascii="Arial" w:eastAsia="ChronicleDispCond-Roman" w:hAnsi="Arial" w:cs="Arial"/>
                            <w:b/>
                          </w:rPr>
                          <w:t>“İkinci Uluslararası Para Tarihi ve Numismatik Kongresi” başlıklı konferansa ev sahipliği yapacak. AKMED’in Antalya’daki merkez binasında gerçekleştirilecek konferansta, para kavramının ortaya çıkışıyla, en erken sikkelerden başlayarak, Bizans döneminin sonuna kadar Akdeniz’e damgasını vuran kültürlerin para ve ekonomi tarihi ele alınacak.</w:t>
                        </w:r>
                        <w:r w:rsidRPr="00AC0C0E">
                          <w:rPr>
                            <w:rFonts w:ascii="Arial" w:eastAsia="ChronicleDispCond-Roman" w:hAnsi="Arial" w:cs="Arial"/>
                          </w:rPr>
                          <w:t xml:space="preserve"> </w:t>
                        </w:r>
                        <w:r>
                          <w:rPr>
                            <w:rFonts w:ascii="Arial" w:eastAsia="ChronicleDispCond-Roman" w:hAnsi="Arial" w:cs="Arial"/>
                            <w:b/>
                          </w:rPr>
                          <w:t>Akdeniz D</w:t>
                        </w:r>
                        <w:r w:rsidRPr="00AC0C0E">
                          <w:rPr>
                            <w:rFonts w:ascii="Arial" w:eastAsia="ChronicleDispCond-Roman" w:hAnsi="Arial" w:cs="Arial"/>
                            <w:b/>
                          </w:rPr>
                          <w:t>ünyası</w:t>
                        </w:r>
                        <w:r>
                          <w:rPr>
                            <w:rFonts w:ascii="Arial" w:eastAsia="ChronicleDispCond-Roman" w:hAnsi="Arial" w:cs="Arial"/>
                            <w:b/>
                          </w:rPr>
                          <w:t>’</w:t>
                        </w:r>
                        <w:r w:rsidRPr="00AC0C0E">
                          <w:rPr>
                            <w:rFonts w:ascii="Arial" w:eastAsia="ChronicleDispCond-Roman" w:hAnsi="Arial" w:cs="Arial"/>
                            <w:b/>
                          </w:rPr>
                          <w:t>na ilişkin para tarihi ve numismatik konularında çalışan bilim insanları konferansta özgün araştırma sonuçlarını paylaşacak.</w:t>
                        </w:r>
                      </w:p>
                      <w:p w14:paraId="15E2CEBE" w14:textId="77777777" w:rsidR="009F5BE1" w:rsidRPr="009B662B" w:rsidRDefault="009F5BE1" w:rsidP="009F5BE1">
                        <w:pPr>
                          <w:autoSpaceDE w:val="0"/>
                          <w:autoSpaceDN w:val="0"/>
                          <w:adjustRightInd w:val="0"/>
                          <w:jc w:val="both"/>
                          <w:rPr>
                            <w:rFonts w:ascii="Arial" w:eastAsia="ChronicleDispCond-Roman" w:hAnsi="Arial" w:cs="Arial"/>
                          </w:rPr>
                        </w:pPr>
                      </w:p>
                      <w:p w14:paraId="39220B1E" w14:textId="77777777" w:rsidR="009F5BE1" w:rsidRDefault="009F5BE1" w:rsidP="009F5BE1">
                        <w:pPr>
                          <w:autoSpaceDE w:val="0"/>
                          <w:autoSpaceDN w:val="0"/>
                          <w:adjustRightInd w:val="0"/>
                          <w:jc w:val="both"/>
                          <w:rPr>
                            <w:rFonts w:ascii="Arial" w:eastAsia="ChronicleDispCond-Roman" w:hAnsi="Arial" w:cs="Arial"/>
                          </w:rPr>
                        </w:pPr>
                      </w:p>
                      <w:p w14:paraId="6A114B4C" w14:textId="77777777" w:rsidR="009F5BE1" w:rsidRPr="009B662B" w:rsidRDefault="009F5BE1" w:rsidP="009F5BE1">
                        <w:pPr>
                          <w:autoSpaceDE w:val="0"/>
                          <w:autoSpaceDN w:val="0"/>
                          <w:adjustRightInd w:val="0"/>
                          <w:jc w:val="both"/>
                          <w:rPr>
                            <w:rFonts w:ascii="Arial" w:eastAsia="ChronicleDispCond-Roman" w:hAnsi="Arial" w:cs="Arial"/>
                          </w:rPr>
                        </w:pPr>
                        <w:r w:rsidRPr="009B662B">
                          <w:rPr>
                            <w:rFonts w:ascii="Arial" w:eastAsia="ChronicleDispCond-Roman" w:hAnsi="Arial" w:cs="Arial"/>
                          </w:rPr>
                          <w:t>Koç Üniversitesi Suna &amp; İnan Kıraç Akdeniz Medeniyetleri Araştırma Merkezi (AKMED)</w:t>
                        </w:r>
                        <w:r>
                          <w:rPr>
                            <w:rFonts w:ascii="Arial" w:eastAsia="ChronicleDispCond-Roman" w:hAnsi="Arial" w:cs="Arial"/>
                          </w:rPr>
                          <w:t xml:space="preserve">, </w:t>
                        </w:r>
                        <w:r w:rsidRPr="009B662B">
                          <w:rPr>
                            <w:rFonts w:ascii="Arial" w:eastAsia="ChronicleDispCond-Roman" w:hAnsi="Arial" w:cs="Arial"/>
                          </w:rPr>
                          <w:t>5-8 Ocak 2017 tarihleri arasında yeni bir kongreye ev sahipliği yapacak. AKMED’in Antalya’daki merkez binasında gerçekleştirilecek</w:t>
                        </w:r>
                        <w:r>
                          <w:rPr>
                            <w:rFonts w:ascii="Arial" w:eastAsia="ChronicleDispCond-Roman" w:hAnsi="Arial" w:cs="Arial"/>
                          </w:rPr>
                          <w:t xml:space="preserve"> konferansın bu yılki teması </w:t>
                        </w:r>
                        <w:r w:rsidRPr="009B662B">
                          <w:rPr>
                            <w:rFonts w:ascii="Arial" w:eastAsia="ChronicleDispCond-Roman" w:hAnsi="Arial" w:cs="Arial"/>
                          </w:rPr>
                          <w:t>“İkinci Uluslararası Para Tarihi ve Numismatik Kongresi”</w:t>
                        </w:r>
                        <w:r>
                          <w:rPr>
                            <w:rFonts w:ascii="Arial" w:eastAsia="ChronicleDispCond-Roman" w:hAnsi="Arial" w:cs="Arial"/>
                          </w:rPr>
                          <w:t xml:space="preserve"> olacak.</w:t>
                        </w:r>
                      </w:p>
                      <w:p w14:paraId="348294CD" w14:textId="77777777" w:rsidR="009F5BE1" w:rsidRPr="009B662B" w:rsidRDefault="009F5BE1" w:rsidP="009F5BE1">
                        <w:pPr>
                          <w:autoSpaceDE w:val="0"/>
                          <w:autoSpaceDN w:val="0"/>
                          <w:adjustRightInd w:val="0"/>
                          <w:jc w:val="both"/>
                          <w:rPr>
                            <w:rFonts w:ascii="Arial" w:eastAsia="ChronicleDispCond-Roman" w:hAnsi="Arial" w:cs="Arial"/>
                          </w:rPr>
                        </w:pPr>
                      </w:p>
                      <w:p w14:paraId="10934F6C" w14:textId="77777777" w:rsidR="009F5BE1" w:rsidRPr="009B662B" w:rsidRDefault="009F5BE1" w:rsidP="009F5BE1">
                        <w:pPr>
                          <w:autoSpaceDE w:val="0"/>
                          <w:autoSpaceDN w:val="0"/>
                          <w:adjustRightInd w:val="0"/>
                          <w:jc w:val="both"/>
                          <w:rPr>
                            <w:rFonts w:ascii="Arial" w:eastAsia="ChronicleDispCond-Roman" w:hAnsi="Arial" w:cs="Arial"/>
                          </w:rPr>
                        </w:pPr>
                        <w:r w:rsidRPr="009B662B">
                          <w:rPr>
                            <w:rFonts w:ascii="Arial" w:eastAsia="ChronicleDispCond-Roman" w:hAnsi="Arial" w:cs="Arial"/>
                          </w:rPr>
                          <w:t xml:space="preserve">Akdeniz </w:t>
                        </w:r>
                        <w:r>
                          <w:rPr>
                            <w:rFonts w:ascii="Arial" w:eastAsia="ChronicleDispCond-Roman" w:hAnsi="Arial" w:cs="Arial"/>
                          </w:rPr>
                          <w:t xml:space="preserve">coğrafyasıyla sınırlı tutulacak olan konferansta, </w:t>
                        </w:r>
                        <w:r w:rsidRPr="009B662B">
                          <w:rPr>
                            <w:rFonts w:ascii="Arial" w:eastAsia="ChronicleDispCond-Roman" w:hAnsi="Arial" w:cs="Arial"/>
                          </w:rPr>
                          <w:t xml:space="preserve">Akdeniz </w:t>
                        </w:r>
                        <w:r>
                          <w:rPr>
                            <w:rFonts w:ascii="Arial" w:eastAsia="ChronicleDispCond-Roman" w:hAnsi="Arial" w:cs="Arial"/>
                          </w:rPr>
                          <w:t>D</w:t>
                        </w:r>
                        <w:r w:rsidRPr="009B662B">
                          <w:rPr>
                            <w:rFonts w:ascii="Arial" w:eastAsia="ChronicleDispCond-Roman" w:hAnsi="Arial" w:cs="Arial"/>
                          </w:rPr>
                          <w:t>ünyası</w:t>
                        </w:r>
                        <w:r>
                          <w:rPr>
                            <w:rFonts w:ascii="Arial" w:eastAsia="ChronicleDispCond-Roman" w:hAnsi="Arial" w:cs="Arial"/>
                          </w:rPr>
                          <w:t>’</w:t>
                        </w:r>
                        <w:r w:rsidRPr="009B662B">
                          <w:rPr>
                            <w:rFonts w:ascii="Arial" w:eastAsia="ChronicleDispCond-Roman" w:hAnsi="Arial" w:cs="Arial"/>
                          </w:rPr>
                          <w:t>na ilişkin para tarihi ve numismatik konularında çalışan değerli bilim ins</w:t>
                        </w:r>
                        <w:r>
                          <w:rPr>
                            <w:rFonts w:ascii="Arial" w:eastAsia="ChronicleDispCond-Roman" w:hAnsi="Arial" w:cs="Arial"/>
                          </w:rPr>
                          <w:t xml:space="preserve">anlarının bir araya getirilerek, </w:t>
                        </w:r>
                        <w:r w:rsidRPr="009B662B">
                          <w:rPr>
                            <w:rFonts w:ascii="Arial" w:eastAsia="ChronicleDispCond-Roman" w:hAnsi="Arial" w:cs="Arial"/>
                          </w:rPr>
                          <w:t>özgün araştırma sonuçlarının paylaşılması, Lidyalılardan İslam devletlerine Akdeniz’de şekillenen kültürel ve ekonomik çeşitliliğe dikkat çekilmesi ve bu alana bilimsel bir katkı sağlanması</w:t>
                        </w:r>
                        <w:r>
                          <w:rPr>
                            <w:rFonts w:ascii="Arial" w:eastAsia="ChronicleDispCond-Roman" w:hAnsi="Arial" w:cs="Arial"/>
                          </w:rPr>
                          <w:t xml:space="preserve"> amaçlanıyor.</w:t>
                        </w:r>
                      </w:p>
                      <w:p w14:paraId="7E5A98A1" w14:textId="77777777" w:rsidR="009F5BE1" w:rsidRPr="009B662B" w:rsidRDefault="009F5BE1" w:rsidP="009F5BE1">
                        <w:pPr>
                          <w:autoSpaceDE w:val="0"/>
                          <w:autoSpaceDN w:val="0"/>
                          <w:adjustRightInd w:val="0"/>
                          <w:jc w:val="both"/>
                          <w:rPr>
                            <w:rFonts w:ascii="Arial" w:eastAsia="ChronicleDispCond-Roman" w:hAnsi="Arial" w:cs="Arial"/>
                          </w:rPr>
                        </w:pPr>
                      </w:p>
                      <w:p w14:paraId="749E53BE" w14:textId="77777777" w:rsidR="009F5BE1" w:rsidRPr="009B662B" w:rsidRDefault="009F5BE1" w:rsidP="009F5BE1">
                        <w:pPr>
                          <w:autoSpaceDE w:val="0"/>
                          <w:autoSpaceDN w:val="0"/>
                          <w:adjustRightInd w:val="0"/>
                          <w:jc w:val="both"/>
                          <w:rPr>
                            <w:rFonts w:ascii="Arial" w:eastAsia="ChronicleDispCond-Roman" w:hAnsi="Arial" w:cs="Arial"/>
                          </w:rPr>
                        </w:pPr>
                        <w:r>
                          <w:rPr>
                            <w:rFonts w:ascii="Arial" w:eastAsia="ChronicleDispCond-Roman" w:hAnsi="Arial" w:cs="Arial"/>
                          </w:rPr>
                          <w:lastRenderedPageBreak/>
                          <w:t>Bu çerçevede, k</w:t>
                        </w:r>
                        <w:r w:rsidRPr="009B662B">
                          <w:rPr>
                            <w:rFonts w:ascii="Arial" w:eastAsia="ChronicleDispCond-Roman" w:hAnsi="Arial" w:cs="Arial"/>
                          </w:rPr>
                          <w:t xml:space="preserve">ongrede sunulacak bildirilerin konularını, para kavramının ortaya </w:t>
                        </w:r>
                        <w:r>
                          <w:rPr>
                            <w:rFonts w:ascii="Arial" w:eastAsia="ChronicleDispCond-Roman" w:hAnsi="Arial" w:cs="Arial"/>
                          </w:rPr>
                          <w:t>ç</w:t>
                        </w:r>
                        <w:r w:rsidRPr="009B662B">
                          <w:rPr>
                            <w:rFonts w:ascii="Arial" w:eastAsia="ChronicleDispCond-Roman" w:hAnsi="Arial" w:cs="Arial"/>
                          </w:rPr>
                          <w:t>ıkışı ve en erken</w:t>
                        </w:r>
                        <w:r>
                          <w:rPr>
                            <w:rFonts w:ascii="Arial" w:eastAsia="ChronicleDispCond-Roman" w:hAnsi="Arial" w:cs="Arial"/>
                          </w:rPr>
                          <w:t xml:space="preserve"> </w:t>
                        </w:r>
                        <w:r w:rsidRPr="009B662B">
                          <w:rPr>
                            <w:rFonts w:ascii="Arial" w:eastAsia="ChronicleDispCond-Roman" w:hAnsi="Arial" w:cs="Arial"/>
                          </w:rPr>
                          <w:t>sikkelerden başlayarak</w:t>
                        </w:r>
                        <w:r>
                          <w:rPr>
                            <w:rFonts w:ascii="Arial" w:eastAsia="ChronicleDispCond-Roman" w:hAnsi="Arial" w:cs="Arial"/>
                          </w:rPr>
                          <w:t>,</w:t>
                        </w:r>
                        <w:r w:rsidRPr="009B662B">
                          <w:rPr>
                            <w:rFonts w:ascii="Arial" w:eastAsia="ChronicleDispCond-Roman" w:hAnsi="Arial" w:cs="Arial"/>
                          </w:rPr>
                          <w:t xml:space="preserve"> Bizans Dönemi’nin sonuna kadar Akdeniz’e damgasını vurmuş kültü</w:t>
                        </w:r>
                        <w:r>
                          <w:rPr>
                            <w:rFonts w:ascii="Arial" w:eastAsia="ChronicleDispCond-Roman" w:hAnsi="Arial" w:cs="Arial"/>
                          </w:rPr>
                          <w:t xml:space="preserve">rlerin para ve ekonomi tarihi oluşturacak. Ayrıca, sunulacak olan bildirilerde, </w:t>
                        </w:r>
                        <w:r w:rsidRPr="009B662B">
                          <w:rPr>
                            <w:rFonts w:ascii="Arial" w:eastAsia="ChronicleDispCond-Roman" w:hAnsi="Arial" w:cs="Arial"/>
                          </w:rPr>
                          <w:t>bu coğrafyada üretilmiş veya dolaşım görmüş sikkelerle pazar ekonomisinin işlemesinde ve değer belirlemede en önemli kamusal araçlardan biri olan t</w:t>
                        </w:r>
                        <w:r>
                          <w:rPr>
                            <w:rFonts w:ascii="Arial" w:eastAsia="ChronicleDispCond-Roman" w:hAnsi="Arial" w:cs="Arial"/>
                          </w:rPr>
                          <w:t>icari ağırlıklar yer alacak.</w:t>
                        </w:r>
                      </w:p>
                      <w:p w14:paraId="78FF9894" w14:textId="77777777" w:rsidR="009F5BE1" w:rsidRPr="00ED0340" w:rsidRDefault="009F5BE1" w:rsidP="009F5BE1">
                        <w:pPr>
                          <w:autoSpaceDE w:val="0"/>
                          <w:autoSpaceDN w:val="0"/>
                          <w:adjustRightInd w:val="0"/>
                          <w:jc w:val="both"/>
                          <w:rPr>
                            <w:rFonts w:eastAsia="ChronicleDispCond-Roman"/>
                            <w:color w:val="6D6F71"/>
                          </w:rPr>
                        </w:pPr>
                      </w:p>
                      <w:p w14:paraId="008D7003" w14:textId="77777777" w:rsidR="009F5BE1" w:rsidRDefault="009F5BE1" w:rsidP="009F5BE1">
                        <w:pPr>
                          <w:jc w:val="both"/>
                          <w:rPr>
                            <w:rFonts w:ascii="Arial" w:hAnsi="Arial" w:cs="Arial"/>
                          </w:rPr>
                        </w:pPr>
                        <w:r w:rsidRPr="003E2F47">
                          <w:rPr>
                            <w:rFonts w:ascii="Arial" w:eastAsia="ChronicleDispCond-Roman" w:hAnsi="Arial" w:cs="Arial"/>
                          </w:rPr>
                          <w:t xml:space="preserve">Detaylı bilgi için: </w:t>
                        </w:r>
                        <w:hyperlink r:id="rId6" w:history="1">
                          <w:r w:rsidRPr="003E2F47">
                            <w:rPr>
                              <w:rFonts w:ascii="Arial" w:hAnsi="Arial" w:cs="Arial"/>
                            </w:rPr>
                            <w:t>http://numismatik.kaleicimuzesi.com</w:t>
                          </w:r>
                        </w:hyperlink>
                      </w:p>
                      <w:p w14:paraId="4E0801D0" w14:textId="77777777" w:rsidR="009F5BE1" w:rsidRDefault="009F5BE1" w:rsidP="009F5BE1">
                        <w:pPr>
                          <w:autoSpaceDE w:val="0"/>
                          <w:autoSpaceDN w:val="0"/>
                          <w:adjustRightInd w:val="0"/>
                          <w:jc w:val="both"/>
                          <w:rPr>
                            <w:rFonts w:ascii="Arial" w:eastAsia="ChronicleDispCond-Roman" w:hAnsi="Arial" w:cs="Arial"/>
                            <w:b/>
                            <w:sz w:val="44"/>
                            <w:szCs w:val="44"/>
                          </w:rPr>
                        </w:pPr>
                        <w:bookmarkStart w:id="1" w:name="_GoBack"/>
                        <w:bookmarkEnd w:id="1"/>
                      </w:p>
                      <w:p w14:paraId="243A69F9" w14:textId="77777777" w:rsidR="009F5BE1" w:rsidRDefault="009F5BE1" w:rsidP="009F5BE1">
                        <w:pPr>
                          <w:autoSpaceDE w:val="0"/>
                          <w:autoSpaceDN w:val="0"/>
                          <w:adjustRightInd w:val="0"/>
                          <w:jc w:val="both"/>
                          <w:rPr>
                            <w:rFonts w:ascii="Arial" w:eastAsia="ChronicleDispCond-Roman" w:hAnsi="Arial" w:cs="Arial"/>
                            <w:b/>
                            <w:sz w:val="20"/>
                            <w:szCs w:val="20"/>
                          </w:rPr>
                        </w:pPr>
                      </w:p>
                      <w:p w14:paraId="70002E06" w14:textId="77777777" w:rsidR="009F5BE1" w:rsidRDefault="009F5BE1" w:rsidP="009F5BE1">
                        <w:pPr>
                          <w:autoSpaceDE w:val="0"/>
                          <w:autoSpaceDN w:val="0"/>
                          <w:adjustRightInd w:val="0"/>
                          <w:jc w:val="both"/>
                          <w:rPr>
                            <w:rFonts w:ascii="Arial" w:eastAsia="ChronicleDispCond-Roman" w:hAnsi="Arial" w:cs="Arial"/>
                            <w:b/>
                            <w:sz w:val="20"/>
                            <w:szCs w:val="20"/>
                          </w:rPr>
                        </w:pPr>
                      </w:p>
                      <w:p w14:paraId="51F2A1B3" w14:textId="77777777" w:rsidR="009F5BE1" w:rsidRPr="00FF04F2" w:rsidRDefault="009F5BE1" w:rsidP="009F5BE1">
                        <w:pPr>
                          <w:autoSpaceDE w:val="0"/>
                          <w:autoSpaceDN w:val="0"/>
                          <w:adjustRightInd w:val="0"/>
                          <w:jc w:val="both"/>
                          <w:rPr>
                            <w:rFonts w:ascii="Arial" w:eastAsia="ChronicleDispCond-Roman" w:hAnsi="Arial" w:cs="Arial"/>
                            <w:b/>
                            <w:i/>
                            <w:sz w:val="20"/>
                            <w:szCs w:val="20"/>
                            <w:u w:val="single"/>
                          </w:rPr>
                        </w:pPr>
                        <w:r w:rsidRPr="00FF04F2">
                          <w:rPr>
                            <w:rFonts w:ascii="Arial" w:eastAsia="ChronicleDispCond-Roman" w:hAnsi="Arial" w:cs="Arial"/>
                            <w:b/>
                            <w:i/>
                            <w:sz w:val="20"/>
                            <w:szCs w:val="20"/>
                            <w:u w:val="single"/>
                          </w:rPr>
                          <w:t>Suna &amp; İnan Kıraç Akdeniz Medeniyetleri Araştırma Merkezi (AKMED)</w:t>
                        </w:r>
                      </w:p>
                      <w:p w14:paraId="6432443D" w14:textId="77777777" w:rsidR="009F5BE1" w:rsidRPr="00FF04F2" w:rsidRDefault="009F5BE1" w:rsidP="009F5BE1">
                        <w:pPr>
                          <w:autoSpaceDE w:val="0"/>
                          <w:autoSpaceDN w:val="0"/>
                          <w:adjustRightInd w:val="0"/>
                          <w:jc w:val="both"/>
                          <w:rPr>
                            <w:rFonts w:ascii="Arial" w:eastAsia="ChronicleDispCond-Roman" w:hAnsi="Arial" w:cs="Arial"/>
                            <w:i/>
                            <w:sz w:val="20"/>
                            <w:szCs w:val="20"/>
                          </w:rPr>
                        </w:pPr>
                      </w:p>
                      <w:p w14:paraId="7770CDCB" w14:textId="77777777" w:rsidR="009F5BE1" w:rsidRPr="00FF04F2" w:rsidRDefault="009F5BE1" w:rsidP="009F5BE1">
                        <w:pPr>
                          <w:autoSpaceDE w:val="0"/>
                          <w:autoSpaceDN w:val="0"/>
                          <w:adjustRightInd w:val="0"/>
                          <w:jc w:val="both"/>
                          <w:rPr>
                            <w:rFonts w:ascii="Arial" w:eastAsia="ChronicleDispCond-Roman" w:hAnsi="Arial" w:cs="Arial"/>
                            <w:i/>
                            <w:sz w:val="20"/>
                            <w:szCs w:val="20"/>
                          </w:rPr>
                        </w:pPr>
                        <w:r w:rsidRPr="00FF04F2">
                          <w:rPr>
                            <w:rFonts w:ascii="Arial" w:eastAsia="ChronicleDispCond-Roman" w:hAnsi="Arial" w:cs="Arial"/>
                            <w:i/>
                            <w:sz w:val="20"/>
                            <w:szCs w:val="20"/>
                          </w:rPr>
                          <w:t>İnan Kıraç’ın 1991 yılında eşi Suna Kıraç’a 50. yaş günü için hediye ettiği Antalya Kaleiçi’nde bulunan Aya Yorgi Kilisesi ve bitişiğindeki yapı grubunun 1995 yılında restorasyonun tamamlanması sonrasında Akdeniz Medeniyetleri alanında ülkemizin ilk girişimi olarak 18 Mayıs 1996 tarihinde kullanıcılarına kapılarını açan Suna – İnan Kıraç Akdeniz Medeniyetleri Araştırma Enstitüsü (AKMED), gerek kamusal gerekse sivil inisiyatifin Akdeniz havzası özeline odaklanmasını sağlayan öncül bir bilim, kültür ve sanat kurumu olarak faaliyetlerine devam etti. 1996 yılından 2016 yılı başlarına kadar yirmi yıl boyunca Vehbi Koç Vakfı bünyesinde çalışmalarını sürdüren AKMED günümüzde Koç Üniversitesi çatısı altında Suna &amp; İnan Kıraç Akdeniz Medeniyetleri Araştırma Merkezi adıyla çalışmalarına devam etmektedir.</w:t>
                        </w:r>
                      </w:p>
                      <w:p w14:paraId="3D93EBB1" w14:textId="77777777" w:rsidR="009F5BE1" w:rsidRPr="00FF04F2" w:rsidRDefault="009F5BE1" w:rsidP="009F5BE1">
                        <w:pPr>
                          <w:autoSpaceDE w:val="0"/>
                          <w:autoSpaceDN w:val="0"/>
                          <w:adjustRightInd w:val="0"/>
                          <w:jc w:val="both"/>
                          <w:rPr>
                            <w:rFonts w:ascii="Arial" w:eastAsia="ChronicleDispCond-Roman" w:hAnsi="Arial" w:cs="Arial"/>
                            <w:i/>
                            <w:sz w:val="20"/>
                            <w:szCs w:val="20"/>
                          </w:rPr>
                        </w:pPr>
                      </w:p>
                      <w:p w14:paraId="6EC5C462" w14:textId="77777777" w:rsidR="009F5BE1" w:rsidRDefault="009F5BE1" w:rsidP="009F5BE1">
                        <w:pPr>
                          <w:autoSpaceDE w:val="0"/>
                          <w:autoSpaceDN w:val="0"/>
                          <w:adjustRightInd w:val="0"/>
                          <w:jc w:val="both"/>
                          <w:rPr>
                            <w:rFonts w:ascii="Arial" w:eastAsia="ChronicleDispCond-Roman" w:hAnsi="Arial" w:cs="Arial"/>
                            <w:i/>
                            <w:sz w:val="20"/>
                            <w:szCs w:val="20"/>
                          </w:rPr>
                        </w:pPr>
                        <w:r w:rsidRPr="00FF04F2">
                          <w:rPr>
                            <w:rFonts w:ascii="Arial" w:eastAsia="ChronicleDispCond-Roman" w:hAnsi="Arial" w:cs="Arial"/>
                            <w:i/>
                            <w:sz w:val="20"/>
                            <w:szCs w:val="20"/>
                          </w:rPr>
                          <w:t>Bilimsel bilginin görünür ve kullanılabilirliğini kerteriz noktası olarak belirleyen AKMED, Akdeniz havzası ve çevre kültür bölgesini, sistematik ve sürdürülebilir bir anlayışla sosyal bilimlerden temel bilimlere, doğa bilimlerinden güzel sanatlara disiplinlerarası bir yaklaşımla araştırmayı misyon olarak belirlemiştir. Tamamladığı ve sürdürmekte olduğu çalışmalarda coğrafi olarak merkezden çevreye bir yaklaşımla bilim üretimine katkılar yapmayı amaçlamaktadır.</w:t>
                        </w:r>
                      </w:p>
                      <w:p w14:paraId="340BD0B3" w14:textId="77777777" w:rsidR="009F5BE1" w:rsidRDefault="009F5BE1" w:rsidP="009F5BE1">
                        <w:pPr>
                          <w:rPr>
                            <w:rFonts w:ascii="Arial" w:eastAsia="ChronicleDispCond-Roman" w:hAnsi="Arial" w:cs="Arial"/>
                            <w:sz w:val="20"/>
                            <w:szCs w:val="20"/>
                          </w:rPr>
                        </w:pPr>
                      </w:p>
                      <w:p w14:paraId="4452287C" w14:textId="77777777" w:rsidR="009F5BE1" w:rsidRPr="00186ADC" w:rsidRDefault="009F5BE1" w:rsidP="009F5BE1">
                        <w:pPr>
                          <w:pStyle w:val="NormalWeb"/>
                          <w:spacing w:line="360" w:lineRule="auto"/>
                          <w:jc w:val="both"/>
                          <w:rPr>
                            <w:rFonts w:ascii="Arial" w:eastAsia="ChronicleDispCond-Roman" w:hAnsi="Arial" w:cs="Arial"/>
                            <w:i/>
                            <w:sz w:val="20"/>
                            <w:szCs w:val="20"/>
                            <w:u w:val="single"/>
                          </w:rPr>
                        </w:pPr>
                        <w:r w:rsidRPr="00186ADC">
                          <w:rPr>
                            <w:rFonts w:ascii="Arial" w:eastAsia="ChronicleDispCond-Roman" w:hAnsi="Arial" w:cs="Arial"/>
                            <w:b/>
                            <w:bCs/>
                            <w:i/>
                            <w:sz w:val="20"/>
                            <w:szCs w:val="20"/>
                            <w:u w:val="single"/>
                          </w:rPr>
                          <w:t xml:space="preserve">Koç Üniversitesi Hakkında </w:t>
                        </w:r>
                      </w:p>
                      <w:p w14:paraId="1EE80580" w14:textId="77777777" w:rsidR="009F5BE1" w:rsidRPr="00186ADC" w:rsidRDefault="009F5BE1" w:rsidP="009F5BE1">
                        <w:pPr>
                          <w:jc w:val="both"/>
                          <w:rPr>
                            <w:rFonts w:ascii="Arial" w:eastAsia="ChronicleDispCond-Roman" w:hAnsi="Arial" w:cs="Arial"/>
                            <w:i/>
                            <w:sz w:val="20"/>
                            <w:szCs w:val="20"/>
                          </w:rPr>
                        </w:pPr>
                        <w:r w:rsidRPr="00186ADC">
                          <w:rPr>
                            <w:rFonts w:ascii="Arial" w:eastAsia="ChronicleDispCond-Roman" w:hAnsi="Arial" w:cs="Arial"/>
                            <w:i/>
                            <w:sz w:val="20"/>
                            <w:szCs w:val="20"/>
                          </w:rPr>
                          <w:t>1993 yılında, en yetkin mezunları yetiştirmek, bilimin sınırlarını ilerletmek ve bu alanlarda ülkemize, insanlığa ve Türkiye'ye hizmet etmek misyonuyla kurulan Koç Üniversitesi, uluslararası düzeyde eğitim veren bir kurumdur. 22 lisans, 29 yüksek lisans ve 25 doktora programı bulunan Koç Üniversitesi'nde lisans programındaki öğrencilerin yüzde %73’ü burslu olarak eğitim görmekte. Sosyal Bilimler, Fen ve Mühendislik Bilimleri ile Sağlık Bilimleri yüksek lisans ve doktora programları ise %100'ü bursludur. Koç Üniversitesi'nde öğrenim gören 6.184 öğrenci bulunuyor. Koç Üniversitesi’nin lisans ve yüksek lisans programlarından bugüne değin 11.000’den fazla öğrenci mezun oldu. Koç Üniversitesi, dünya standartlarında geniş laboratuvar, bilgi işlem ve araştırma olanaklarıyla, öğretim üyesi başına düşen bilimsel makale sayısında Türkiye'deki eğitim kurumlarının arasında en üst sıralarda yer alır.</w:t>
                        </w:r>
                      </w:p>
                      <w:p w14:paraId="3CDA1375" w14:textId="4F66EA67" w:rsidR="005F522C" w:rsidRDefault="005F522C" w:rsidP="00EB2E6C">
                        <w:pPr>
                          <w:spacing w:line="360" w:lineRule="atLeast"/>
                          <w:jc w:val="both"/>
                          <w:rPr>
                            <w:rFonts w:ascii="Helvetica" w:hAnsi="Helvetica" w:cs="Helvetica"/>
                            <w:color w:val="1C2B28"/>
                            <w:sz w:val="21"/>
                            <w:szCs w:val="21"/>
                          </w:rPr>
                        </w:pPr>
                      </w:p>
                    </w:tc>
                  </w:tr>
                </w:tbl>
                <w:p w14:paraId="6A2C3AF1" w14:textId="77777777" w:rsidR="005F522C" w:rsidRDefault="005F522C">
                  <w:pPr>
                    <w:jc w:val="center"/>
                    <w:rPr>
                      <w:sz w:val="20"/>
                      <w:szCs w:val="20"/>
                    </w:rPr>
                  </w:pPr>
                </w:p>
              </w:tc>
            </w:tr>
          </w:tbl>
          <w:p w14:paraId="212D5126" w14:textId="77777777" w:rsidR="005F522C" w:rsidRDefault="005F522C">
            <w:pPr>
              <w:jc w:val="center"/>
              <w:rPr>
                <w:sz w:val="20"/>
                <w:szCs w:val="20"/>
              </w:rPr>
            </w:pPr>
          </w:p>
        </w:tc>
      </w:tr>
    </w:tbl>
    <w:p w14:paraId="1C33E936" w14:textId="77777777" w:rsidR="005F522C" w:rsidRDefault="005F522C" w:rsidP="005F522C">
      <w:pPr>
        <w:jc w:val="center"/>
        <w:rPr>
          <w:rFonts w:eastAsia="Times New Roman"/>
          <w:color w:val="1C2B28"/>
          <w:sz w:val="18"/>
          <w:szCs w:val="18"/>
        </w:rPr>
      </w:pPr>
      <w:r>
        <w:rPr>
          <w:rFonts w:eastAsia="Times New Roman"/>
          <w:noProof/>
          <w:color w:val="1C2B28"/>
          <w:sz w:val="18"/>
          <w:szCs w:val="18"/>
        </w:rPr>
        <w:lastRenderedPageBreak/>
        <w:drawing>
          <wp:inline distT="0" distB="0" distL="0" distR="0" wp14:anchorId="4F81D914" wp14:editId="4371C4F5">
            <wp:extent cx="9525" cy="9525"/>
            <wp:effectExtent l="0" t="0" r="0" b="0"/>
            <wp:docPr id="1" name="Picture 1" descr="http://log.faselis.com/rdv2.php?cd=2,ybU18-192424-tr-225650,0-12066,eceokumus@lobby-p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og.faselis.com/rdv2.php?cd=2,ybU18-192424-tr-225650,0-12066,eceokumus@lobby-pr.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p>
    <w:p w14:paraId="0E866F92" w14:textId="77777777" w:rsidR="00E36135" w:rsidRDefault="00E36135"/>
    <w:sectPr w:rsidR="00E36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hronicleDispCond-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2C"/>
    <w:rsid w:val="0011749E"/>
    <w:rsid w:val="00217328"/>
    <w:rsid w:val="002F13AD"/>
    <w:rsid w:val="00312286"/>
    <w:rsid w:val="00343181"/>
    <w:rsid w:val="005F522C"/>
    <w:rsid w:val="009518A9"/>
    <w:rsid w:val="009F5BE1"/>
    <w:rsid w:val="00BB5F85"/>
    <w:rsid w:val="00D66A83"/>
    <w:rsid w:val="00E36135"/>
    <w:rsid w:val="00EB2E6C"/>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984114"/>
  <w15:chartTrackingRefBased/>
  <w15:docId w15:val="{25AD60CD-D09C-4E19-A267-019AA060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522C"/>
    <w:pPr>
      <w:spacing w:after="0" w:line="240" w:lineRule="auto"/>
    </w:pPr>
    <w:rPr>
      <w:rFonts w:ascii="Times New Roman" w:hAnsi="Times New Roman" w:cs="Times New Roman"/>
      <w:sz w:val="24"/>
      <w:szCs w:val="24"/>
      <w:lang w:eastAsia="tr-TR"/>
    </w:rPr>
  </w:style>
  <w:style w:type="paragraph" w:styleId="Balk2">
    <w:name w:val="heading 2"/>
    <w:basedOn w:val="Normal"/>
    <w:link w:val="Balk2Char"/>
    <w:uiPriority w:val="9"/>
    <w:semiHidden/>
    <w:unhideWhenUsed/>
    <w:qFormat/>
    <w:rsid w:val="005F522C"/>
    <w:pPr>
      <w:spacing w:before="100" w:beforeAutospacing="1" w:after="100" w:afterAutospacing="1"/>
      <w:outlineLvl w:val="1"/>
    </w:pPr>
    <w:rPr>
      <w:b/>
      <w:bCs/>
      <w:color w:val="000000"/>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5F522C"/>
    <w:rPr>
      <w:rFonts w:ascii="Times New Roman" w:hAnsi="Times New Roman" w:cs="Times New Roman"/>
      <w:b/>
      <w:bCs/>
      <w:color w:val="000000"/>
      <w:sz w:val="36"/>
      <w:szCs w:val="36"/>
      <w:lang w:eastAsia="tr-TR"/>
    </w:rPr>
  </w:style>
  <w:style w:type="character" w:styleId="Kpr">
    <w:name w:val="Hyperlink"/>
    <w:basedOn w:val="VarsaylanParagrafYazTipi"/>
    <w:uiPriority w:val="99"/>
    <w:semiHidden/>
    <w:unhideWhenUsed/>
    <w:rsid w:val="005F522C"/>
    <w:rPr>
      <w:color w:val="1C2B28"/>
      <w:u w:val="single"/>
    </w:rPr>
  </w:style>
  <w:style w:type="paragraph" w:styleId="NormalWeb">
    <w:name w:val="Normal (Web)"/>
    <w:basedOn w:val="Normal"/>
    <w:uiPriority w:val="99"/>
    <w:semiHidden/>
    <w:unhideWhenUsed/>
    <w:rsid w:val="005F522C"/>
  </w:style>
  <w:style w:type="paragraph" w:customStyle="1" w:styleId="alttext">
    <w:name w:val="alttext"/>
    <w:basedOn w:val="Normal"/>
    <w:uiPriority w:val="99"/>
    <w:semiHidden/>
    <w:rsid w:val="005F522C"/>
  </w:style>
  <w:style w:type="table" w:customStyle="1" w:styleId="NormalTablo1">
    <w:name w:val="Normal Tablo1"/>
    <w:uiPriority w:val="99"/>
    <w:semiHidden/>
    <w:rsid w:val="005F522C"/>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character" w:styleId="Gl">
    <w:name w:val="Strong"/>
    <w:basedOn w:val="VarsaylanParagrafYazTipi"/>
    <w:uiPriority w:val="22"/>
    <w:qFormat/>
    <w:rsid w:val="005F52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44886">
      <w:bodyDiv w:val="1"/>
      <w:marLeft w:val="0"/>
      <w:marRight w:val="0"/>
      <w:marTop w:val="0"/>
      <w:marBottom w:val="0"/>
      <w:divBdr>
        <w:top w:val="none" w:sz="0" w:space="0" w:color="auto"/>
        <w:left w:val="none" w:sz="0" w:space="0" w:color="auto"/>
        <w:bottom w:val="none" w:sz="0" w:space="0" w:color="auto"/>
        <w:right w:val="none" w:sz="0" w:space="0" w:color="auto"/>
      </w:divBdr>
    </w:div>
    <w:div w:id="1322346191">
      <w:bodyDiv w:val="1"/>
      <w:marLeft w:val="0"/>
      <w:marRight w:val="0"/>
      <w:marTop w:val="0"/>
      <w:marBottom w:val="0"/>
      <w:divBdr>
        <w:top w:val="none" w:sz="0" w:space="0" w:color="auto"/>
        <w:left w:val="none" w:sz="0" w:space="0" w:color="auto"/>
        <w:bottom w:val="none" w:sz="0" w:space="0" w:color="auto"/>
        <w:right w:val="none" w:sz="0" w:space="0" w:color="auto"/>
      </w:divBdr>
    </w:div>
    <w:div w:id="1572078742">
      <w:bodyDiv w:val="1"/>
      <w:marLeft w:val="0"/>
      <w:marRight w:val="0"/>
      <w:marTop w:val="0"/>
      <w:marBottom w:val="0"/>
      <w:divBdr>
        <w:top w:val="none" w:sz="0" w:space="0" w:color="auto"/>
        <w:left w:val="none" w:sz="0" w:space="0" w:color="auto"/>
        <w:bottom w:val="none" w:sz="0" w:space="0" w:color="auto"/>
        <w:right w:val="none" w:sz="0" w:space="0" w:color="auto"/>
      </w:divBdr>
    </w:div>
    <w:div w:id="1822845111">
      <w:bodyDiv w:val="1"/>
      <w:marLeft w:val="0"/>
      <w:marRight w:val="0"/>
      <w:marTop w:val="0"/>
      <w:marBottom w:val="0"/>
      <w:divBdr>
        <w:top w:val="none" w:sz="0" w:space="0" w:color="auto"/>
        <w:left w:val="none" w:sz="0" w:space="0" w:color="auto"/>
        <w:bottom w:val="none" w:sz="0" w:space="0" w:color="auto"/>
        <w:right w:val="none" w:sz="0" w:space="0" w:color="auto"/>
      </w:divBdr>
    </w:div>
    <w:div w:id="213837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ku.edu.tr/" TargetMode="External"/><Relationship Id="rId5" Type="http://schemas.openxmlformats.org/officeDocument/2006/relationships/image" Target="media/image1.jpeg"/><Relationship Id="rId6" Type="http://schemas.openxmlformats.org/officeDocument/2006/relationships/hyperlink" Target="http://numismatik.kaleicimuzesi.com"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644</Words>
  <Characters>3677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ovarol</dc:creator>
  <cp:keywords/>
  <dc:description/>
  <cp:lastModifiedBy>serra tecimer</cp:lastModifiedBy>
  <cp:revision>5</cp:revision>
  <dcterms:created xsi:type="dcterms:W3CDTF">2017-03-23T12:34:00Z</dcterms:created>
  <dcterms:modified xsi:type="dcterms:W3CDTF">2017-04-04T10:47:00Z</dcterms:modified>
</cp:coreProperties>
</file>